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Arial" w:cs="Arial" w:hAnsi="Arial" w:eastAsia="Arial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36"/>
          <w:szCs w:val="36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CONSORCIO DE RESIDUOS SECTOR II APRUEBA UN PRESUPUESTO DE </w:t>
      </w: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>M</w:t>
      </w:r>
      <w:r>
        <w:rPr>
          <w:rStyle w:val="Ninguno"/>
          <w:rFonts w:ascii="Arial" w:hAnsi="Arial" w:hint="default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>S DE 700.000</w:t>
      </w: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EUROS PARA 202</w:t>
      </w: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>2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36"/>
          <w:szCs w:val="36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La Junta General de la entidad se celebr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ayer 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para aprobar el presupuesto del pr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ximo a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o entre otros puntos en su orden del d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a.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val="single"/>
          <w:rtl w:val="0"/>
          <w:lang w:val="es-ES_tradnl"/>
          <w14:textOutline w14:w="12700" w14:cap="flat">
            <w14:noFill/>
            <w14:miter w14:lim="400000"/>
          </w14:textOutline>
        </w:rPr>
        <w:t xml:space="preserve">Benahadux, </w:t>
      </w:r>
      <w:r>
        <w:rPr>
          <w:rStyle w:val="Ninguno"/>
          <w:rFonts w:ascii="Arial" w:hAnsi="Arial"/>
          <w:sz w:val="26"/>
          <w:szCs w:val="26"/>
          <w:u w:val="single"/>
          <w:rtl w:val="0"/>
          <w:lang w:val="es-ES_tradnl"/>
          <w14:textOutline w14:w="12700" w14:cap="flat">
            <w14:noFill/>
            <w14:miter w14:lim="400000"/>
          </w14:textOutline>
        </w:rPr>
        <w:t>30</w:t>
      </w:r>
      <w:r>
        <w:rPr>
          <w:rStyle w:val="Ninguno"/>
          <w:rFonts w:ascii="Arial" w:hAnsi="Arial"/>
          <w:sz w:val="26"/>
          <w:szCs w:val="26"/>
          <w:u w:val="single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 </w:t>
      </w:r>
      <w:r>
        <w:rPr>
          <w:rStyle w:val="Ninguno"/>
          <w:rFonts w:ascii="Arial" w:hAnsi="Arial"/>
          <w:sz w:val="26"/>
          <w:szCs w:val="26"/>
          <w:u w:val="single"/>
          <w:rtl w:val="0"/>
          <w:lang w:val="es-ES_tradnl"/>
          <w14:textOutline w14:w="12700" w14:cap="flat">
            <w14:noFill/>
            <w14:miter w14:lim="400000"/>
          </w14:textOutline>
        </w:rPr>
        <w:t>diciembre</w:t>
      </w:r>
      <w:r>
        <w:rPr>
          <w:rStyle w:val="Ninguno"/>
          <w:rFonts w:ascii="Arial" w:hAnsi="Arial"/>
          <w:sz w:val="26"/>
          <w:szCs w:val="26"/>
          <w:u w:val="single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 2021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Ayer por la ma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ana se celebr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ltima convocatoria del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o para el CRSII. Fue v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telem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tica debido a la situaci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de pandemia por Covid-19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que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padecemos.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L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 sesi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ordinaria de la Junta General del Consorcio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conten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un orden del 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con aspecto relevantes para el futuro de la entidad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, con la aprobaci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del presupuesto para este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o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como uno de ellos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Presupuesto para 202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2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 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727.600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euros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Este nuevo p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resupuesto mantiene con respecto al de 2021 pr</w:t>
      </w:r>
      <w:r>
        <w:rPr>
          <w:rStyle w:val="Ninguno"/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cticamente el mismo importe global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 Cabe destacar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destaca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inversiones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importantes que tendr</w:t>
      </w:r>
      <w:r>
        <w:rPr>
          <w:rStyle w:val="Ninguno"/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lugar este pr</w:t>
      </w:r>
      <w:r>
        <w:rPr>
          <w:rStyle w:val="Ninguno"/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ximo a</w:t>
      </w:r>
      <w:r>
        <w:rPr>
          <w:rStyle w:val="Ninguno"/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o: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lanta de G</w:t>
      </w:r>
      <w:r>
        <w:rPr>
          <w:rStyle w:val="Ninguno"/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dor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 R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enovaci</w:t>
      </w:r>
      <w:r>
        <w:rPr>
          <w:rStyle w:val="Ninguno"/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de maquinaria, instalaciones y vertederos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enovaci</w:t>
      </w:r>
      <w:r>
        <w:rPr>
          <w:rStyle w:val="Ninguno"/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de las Estaciones de Transferencia para darles un lavado de cara y adecuarlas para un mejor servicio de recogida de residuos.</w:t>
      </w:r>
    </w:p>
    <w:p>
      <w:pPr>
        <w:pStyle w:val="Normal.0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Nuevo concesionario de servicios en 2022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Este a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 se presenta como uno de los m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importantes en la historia del CRSII, ya que l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 concesi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n con 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actual concesionario, Cespa S.A., finaliza en julio del 2022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lo que supone un momento siempre decisivo en la vida de la entidad.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 Consorcio ya est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dando cuenta a los municipios 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que lo integran 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del planteamiento del nuevo servicio y de los pliegos t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cnicos que van a regir la futura concesi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n. As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instituci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ha explicado a todos los municipios el contenido esencial del futuro contrato y va a abrir un periodo de alegaciones y sugerencias para que todos los municipios puedan aportar ideas a los pliegos t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cnicos propuestos desde la presidencia.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Son muchos los aspectos a considerar: 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Nuevos servicios, renovaci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completa de flota y contenedores, tecnolog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 vanguardista y sostenible para el control del servicio e importantes mejoras para todos los pueblos son algunas de las nuevas bondades contempladas para el nuevo contrato.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Una vez finalizado el periodo de alegaciones est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previsto que los pliegos sean aprobados a la mayor brevedad al objeto de que el concurso para seleccionar al nuevo contratista se realice lo antes posible.</w:t>
      </w:r>
      <w:r>
        <w:rPr>
          <w:rStyle w:val="Ninguno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presidente del Consorcio, Ismael Torres,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ha mostrado su satisfacci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por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estar cumpliendo con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los objetivos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marcados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al comienzo de su presidencia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‘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estamos consiguiendo sanear, modernizar y  renovar el concepto de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gesti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de residuos. Hemos conseguido liquidar deudas importante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s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y adem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s estamos siendo pioneros en iniciativas de concienciaci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ciudadana y procesos internos de gesti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y toma de decisiones participativos, transparentes y responsables socialmente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jc w:val="both"/>
        <w:rPr>
          <w:rStyle w:val="Ninguno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Jorge Vel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zquez, Gerente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 la entidad ha querido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subrayar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la importancia de lo que suceder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en este 2022 y de la trayectoria de gesti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impecable que se est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llevando a cabo: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‘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hemos aprobado un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presupuesto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claramente inversor y determinante para la trayectoria de  este Consorcio. El futuro de la entidad y la responsabilidad con los ciudadanos y medioambiental se decide en 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as como hoy con propuestas y apuestas firmes por este proyecto. L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as mejoras y avances La junta general del 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de hoy ha sido muy importante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para el futuro del CRSII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jc w:val="both"/>
      </w:pP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Como es habitual, el CSRII ha querido dejar patente su gran compromiso para contribuir al desarrollo sostenible y ser parte activa en la lucha  contra el cambio clim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tico a trav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s de todas las campa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as y acciones que dise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 y lleva a cabo, apoyando el cumplimiento de los Objetivos de Desarrollo Sostenible. Adem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s, en las actuales circunstancias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sigue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comprometido con la intensificaci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en las labores de limpieza y desinfecci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que suponen una alto grado de implicaci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en la lucha contra la pandemia mundial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que persiste a 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de hoy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por Covid-19.</w:t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Style w:val="Ninguno"/>
        <w:rFonts w:ascii="Arial" w:cs="Arial" w:hAnsi="Arial" w:eastAsia="Arial"/>
        <w:b w:val="1"/>
        <w:bCs w:val="1"/>
        <w:outline w:val="0"/>
        <w:color w:val="7f7f7f"/>
        <w:sz w:val="12"/>
        <w:szCs w:val="12"/>
        <w:u w:color="7f7f7f"/>
        <w14:textFill>
          <w14:solidFill>
            <w14:srgbClr w14:val="7F7F7F"/>
          </w14:solidFill>
        </w14:textFill>
      </w:rPr>
    </w:pPr>
    <w:r>
      <w:rPr>
        <w:rStyle w:val="Ninguno"/>
        <w:rFonts w:ascii="Arial" w:hAnsi="Arial"/>
        <w:b w:val="1"/>
        <w:bCs w:val="1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EL PRESENTE DOCUMENTO HA SIDO FIRMADO ELECTR</w:t>
    </w:r>
    <w:r>
      <w:rPr>
        <w:rStyle w:val="Ninguno"/>
        <w:rFonts w:ascii="Arial" w:hAnsi="Arial" w:hint="default"/>
        <w:b w:val="1"/>
        <w:bCs w:val="1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Ó</w:t>
    </w:r>
    <w:r>
      <w:rPr>
        <w:rStyle w:val="Ninguno"/>
        <w:rFonts w:ascii="Arial" w:hAnsi="Arial"/>
        <w:b w:val="1"/>
        <w:bCs w:val="1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 xml:space="preserve">NICAMENTE </w:t>
    </w:r>
  </w:p>
  <w:p>
    <w:pPr>
      <w:pStyle w:val="Encabezado"/>
      <w:tabs>
        <w:tab w:val="clear" w:pos="4252"/>
        <w:tab w:val="clear" w:pos="8504"/>
      </w:tabs>
      <w:jc w:val="center"/>
      <w:rPr>
        <w:rStyle w:val="Ninguno"/>
        <w:rFonts w:ascii="Arial" w:cs="Arial" w:hAnsi="Arial" w:eastAsia="Arial"/>
        <w:outline w:val="0"/>
        <w:color w:val="7f7f7f"/>
        <w:sz w:val="12"/>
        <w:szCs w:val="12"/>
        <w:u w:color="7f7f7f"/>
        <w14:textFill>
          <w14:solidFill>
            <w14:srgbClr w14:val="7F7F7F"/>
          </w14:solidFill>
        </w14:textFill>
      </w:rPr>
    </w:pPr>
    <w:r>
      <w:rPr>
        <w:rStyle w:val="Ninguno"/>
        <w:rFonts w:ascii="Arial" w:hAnsi="Arial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(de acuerdo con lo establecido en la Ley 49/2015, de 1 de octubre, de R</w:t>
    </w:r>
    <w:r>
      <w:rPr>
        <w:rStyle w:val="Ninguno"/>
        <w:rFonts w:ascii="Arial" w:hAnsi="Arial" w:hint="default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é</w:t>
    </w:r>
    <w:r>
      <w:rPr>
        <w:rStyle w:val="Ninguno"/>
        <w:rFonts w:ascii="Arial" w:hAnsi="Arial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gimen Jur</w:t>
    </w:r>
    <w:r>
      <w:rPr>
        <w:rStyle w:val="Ninguno"/>
        <w:rFonts w:ascii="Arial" w:hAnsi="Arial" w:hint="default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í</w:t>
    </w:r>
    <w:r>
      <w:rPr>
        <w:rStyle w:val="Ninguno"/>
        <w:rFonts w:ascii="Arial" w:hAnsi="Arial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dico del Sector P</w:t>
    </w:r>
    <w:r>
      <w:rPr>
        <w:rStyle w:val="Ninguno"/>
        <w:rFonts w:ascii="Arial" w:hAnsi="Arial" w:hint="default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ú</w:t>
    </w:r>
    <w:r>
      <w:rPr>
        <w:rStyle w:val="Ninguno"/>
        <w:rFonts w:ascii="Arial" w:hAnsi="Arial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blico.)</w:t>
    </w:r>
  </w:p>
  <w:p>
    <w:pPr>
      <w:pStyle w:val="Encabezado"/>
      <w:tabs>
        <w:tab w:val="clear" w:pos="4252"/>
        <w:tab w:val="clear" w:pos="8504"/>
      </w:tabs>
      <w:jc w:val="center"/>
      <w:rPr>
        <w:rStyle w:val="Ninguno"/>
        <w:rFonts w:ascii="Arial" w:cs="Arial" w:hAnsi="Arial" w:eastAsia="Arial"/>
        <w:sz w:val="12"/>
        <w:szCs w:val="12"/>
      </w:rPr>
    </w:pPr>
  </w:p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142"/>
        <w:tab w:val="right" w:pos="8364"/>
      </w:tabs>
      <w:rPr>
        <w:rStyle w:val="Ninguno"/>
        <w:rFonts w:ascii="Arial" w:cs="Arial" w:hAnsi="Arial" w:eastAsia="Arial"/>
        <w:sz w:val="18"/>
        <w:szCs w:val="18"/>
      </w:rPr>
    </w:pPr>
    <w:r>
      <w:rPr>
        <w:rStyle w:val="Ninguno"/>
        <w:rFonts w:ascii="Arial" w:cs="Arial" w:hAnsi="Arial" w:eastAsia="Arial"/>
        <w:sz w:val="18"/>
        <w:szCs w:val="18"/>
        <w:rtl w:val="0"/>
      </w:rPr>
      <w:tab/>
      <w:t>C/ Tulip</w:t>
    </w:r>
    <w:r>
      <w:rPr>
        <w:rStyle w:val="Ninguno"/>
        <w:rFonts w:ascii="Arial" w:hAnsi="Arial" w:hint="default"/>
        <w:sz w:val="18"/>
        <w:szCs w:val="18"/>
        <w:rtl w:val="0"/>
        <w:lang w:val="es-ES_tradnl"/>
      </w:rPr>
      <w:t>á</w:t>
    </w:r>
    <w:r>
      <w:rPr>
        <w:rStyle w:val="Ninguno"/>
        <w:rFonts w:ascii="Arial" w:hAnsi="Arial"/>
        <w:sz w:val="18"/>
        <w:szCs w:val="18"/>
        <w:rtl w:val="0"/>
        <w:lang w:val="es-ES_tradnl"/>
      </w:rPr>
      <w:t>n, 1-1</w:t>
    </w:r>
    <w:r>
      <w:rPr>
        <w:rStyle w:val="Ninguno"/>
        <w:rFonts w:ascii="Arial" w:hAnsi="Arial" w:hint="default"/>
        <w:sz w:val="18"/>
        <w:szCs w:val="18"/>
        <w:rtl w:val="0"/>
        <w:lang w:val="es-ES_tradnl"/>
      </w:rPr>
      <w:t xml:space="preserve">º </w:t>
    </w:r>
    <w:r>
      <w:rPr>
        <w:rStyle w:val="Ninguno"/>
        <w:rFonts w:ascii="Arial" w:hAnsi="Arial"/>
        <w:sz w:val="18"/>
        <w:szCs w:val="18"/>
        <w:rtl w:val="0"/>
        <w:lang w:val="es-ES_tradnl"/>
      </w:rPr>
      <w:t>Oficina 8</w:t>
    </w:r>
    <w:r>
      <w:rPr>
        <w:rStyle w:val="Ninguno"/>
        <w:rFonts w:ascii="Arial" w:hAnsi="Arial" w:hint="default"/>
        <w:sz w:val="18"/>
        <w:szCs w:val="18"/>
        <w:rtl w:val="0"/>
        <w:lang w:val="es-ES_tradnl"/>
      </w:rPr>
      <w:t>ª</w:t>
      <w:tab/>
    </w:r>
    <w:r>
      <w:rPr>
        <w:rStyle w:val="Ninguno"/>
        <w:rFonts w:ascii="Arial" w:hAnsi="Arial"/>
        <w:sz w:val="18"/>
        <w:szCs w:val="18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8"/>
        <w:szCs w:val="18"/>
        <w:rtl w:val="0"/>
        <w:lang w:val="es-ES_tradnl"/>
      </w:rPr>
      <w:t>í</w:t>
    </w:r>
    <w:r>
      <w:rPr>
        <w:rStyle w:val="Ninguno"/>
        <w:rFonts w:ascii="Arial" w:hAnsi="Arial"/>
        <w:sz w:val="18"/>
        <w:szCs w:val="18"/>
        <w:rtl w:val="0"/>
        <w:lang w:val="es-ES_tradnl"/>
      </w:rPr>
      <w:t>a)</w:t>
    </w:r>
  </w:p>
  <w:p>
    <w:pPr>
      <w:pStyle w:val="Normal.0"/>
      <w:tabs>
        <w:tab w:val="left" w:pos="142"/>
        <w:tab w:val="right" w:pos="8364"/>
      </w:tabs>
      <w:rPr>
        <w:rStyle w:val="Ninguno"/>
        <w:rFonts w:ascii="Arial" w:cs="Arial" w:hAnsi="Arial" w:eastAsia="Arial"/>
        <w:sz w:val="18"/>
        <w:szCs w:val="18"/>
      </w:rPr>
    </w:pPr>
    <w:r>
      <w:rPr>
        <w:rStyle w:val="Ninguno"/>
        <w:rFonts w:ascii="Arial" w:cs="Arial" w:hAnsi="Arial" w:eastAsia="Arial"/>
        <w:sz w:val="18"/>
        <w:szCs w:val="18"/>
        <w:rtl w:val="0"/>
      </w:rPr>
      <w:tab/>
      <w:t>Tel</w:t>
    </w:r>
    <w:r>
      <w:rPr>
        <w:rStyle w:val="Ninguno"/>
        <w:rFonts w:ascii="Arial" w:hAnsi="Arial" w:hint="default"/>
        <w:sz w:val="18"/>
        <w:szCs w:val="18"/>
        <w:rtl w:val="0"/>
        <w:lang w:val="es-ES_tradnl"/>
      </w:rPr>
      <w:t>é</w:t>
    </w:r>
    <w:r>
      <w:rPr>
        <w:rStyle w:val="Ninguno"/>
        <w:rFonts w:ascii="Arial" w:hAnsi="Arial"/>
        <w:sz w:val="18"/>
        <w:szCs w:val="18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142"/>
        <w:tab w:val="right" w:pos="8364"/>
      </w:tabs>
    </w:pPr>
    <w:r>
      <w:rPr>
        <w:rStyle w:val="Ninguno"/>
        <w:rFonts w:ascii="Arial" w:cs="Arial" w:hAnsi="Arial" w:eastAsia="Arial"/>
        <w:sz w:val="18"/>
        <w:szCs w:val="18"/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8"/>
        <w:szCs w:val="18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655319</wp:posOffset>
              </wp:positionH>
              <wp:positionV relativeFrom="page">
                <wp:posOffset>196850</wp:posOffset>
              </wp:positionV>
              <wp:extent cx="5681346" cy="906005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1346" cy="906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exto de cuerpo"/>
                            <w:jc w:val="right"/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8"/>
                              <w:szCs w:val="18"/>
                            </w:rPr>
                            <w:drawing xmlns:a="http://schemas.openxmlformats.org/drawingml/2006/main">
                              <wp:inline distT="0" distB="0" distL="0" distR="0">
                                <wp:extent cx="5019355" cy="790343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19355" cy="790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1.6pt;margin-top:15.5pt;width:447.4pt;height:71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exto de cuerpo"/>
                      <w:jc w:val="right"/>
                    </w:pPr>
                    <w:r>
                      <w:rPr>
                        <w:rStyle w:val="Ninguno"/>
                        <w:rFonts w:ascii="Arial" w:hAnsi="Arial"/>
                        <w:sz w:val="18"/>
                        <w:szCs w:val="18"/>
                      </w:rPr>
                      <w:drawing xmlns:a="http://schemas.openxmlformats.org/drawingml/2006/main">
                        <wp:inline distT="0" distB="0" distL="0" distR="0">
                          <wp:extent cx="5019355" cy="790343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19355" cy="790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-27.6pt;margin-top:408.2pt;width:92.0pt;height:25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4552950</wp:posOffset>
          </wp:positionH>
          <wp:positionV relativeFrom="page">
            <wp:posOffset>10192384</wp:posOffset>
          </wp:positionV>
          <wp:extent cx="230505" cy="230505"/>
          <wp:effectExtent l="42185" t="42185" r="42185" b="42185"/>
          <wp:wrapNone/>
          <wp:docPr id="1073741828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</w:pPr>
  </w:p>
  <w:p>
    <w:pPr>
      <w:pStyle w:val="Normal.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o de cuerpo">
    <w:name w:val="Texto de cuerpo"/>
    <w:next w:val="Texto de 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00"/>
      <w:sz w:val="18"/>
      <w:szCs w:val="18"/>
      <w:u w:val="single" w:color="000000"/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Viñetas">
    <w:name w:val="Viñet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